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061"/>
        <w:gridCol w:w="950"/>
        <w:gridCol w:w="775"/>
        <w:gridCol w:w="650"/>
        <w:gridCol w:w="1025"/>
        <w:gridCol w:w="875"/>
        <w:gridCol w:w="650"/>
        <w:gridCol w:w="2175"/>
        <w:gridCol w:w="500"/>
        <w:gridCol w:w="725"/>
        <w:gridCol w:w="1989"/>
        <w:gridCol w:w="986"/>
        <w:gridCol w:w="725"/>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7" w:type="dxa"/>
            <w:gridSpan w:val="15"/>
          </w:tcPr>
          <w:p>
            <w:pPr>
              <w:jc w:val="cente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霸州市行政执法事项清单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7" w:type="dxa"/>
            <w:gridSpan w:val="15"/>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填报单位：霸州市商务局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662" w:type="dxa"/>
            <w:vMerge w:val="restart"/>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编码</w:t>
            </w:r>
          </w:p>
        </w:tc>
        <w:tc>
          <w:tcPr>
            <w:tcW w:w="1061" w:type="dxa"/>
            <w:vMerge w:val="restart"/>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项目</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名称</w:t>
            </w:r>
          </w:p>
        </w:tc>
        <w:tc>
          <w:tcPr>
            <w:tcW w:w="950" w:type="dxa"/>
            <w:vMerge w:val="restart"/>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执法</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类别</w:t>
            </w:r>
          </w:p>
        </w:tc>
        <w:tc>
          <w:tcPr>
            <w:tcW w:w="775" w:type="dxa"/>
            <w:vMerge w:val="restart"/>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执法</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主体</w:t>
            </w:r>
          </w:p>
        </w:tc>
        <w:tc>
          <w:tcPr>
            <w:tcW w:w="650" w:type="dxa"/>
            <w:vMerge w:val="restart"/>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承办</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机构</w:t>
            </w:r>
          </w:p>
        </w:tc>
        <w:tc>
          <w:tcPr>
            <w:tcW w:w="5950" w:type="dxa"/>
            <w:gridSpan w:val="6"/>
            <w:vMerge w:val="restart"/>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执法依据</w:t>
            </w:r>
          </w:p>
        </w:tc>
        <w:tc>
          <w:tcPr>
            <w:tcW w:w="1989" w:type="dxa"/>
            <w:vMerge w:val="restart"/>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实施对象</w:t>
            </w:r>
          </w:p>
        </w:tc>
        <w:tc>
          <w:tcPr>
            <w:tcW w:w="1711" w:type="dxa"/>
            <w:gridSpan w:val="2"/>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办理时间</w:t>
            </w:r>
          </w:p>
        </w:tc>
        <w:tc>
          <w:tcPr>
            <w:tcW w:w="509" w:type="dxa"/>
            <w:vMerge w:val="restart"/>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62" w:type="dxa"/>
            <w:vMerge w:val="continue"/>
          </w:tcPr>
          <w:p>
            <w:pPr>
              <w:rPr>
                <w:color w:val="000000" w:themeColor="text1"/>
                <w:vertAlign w:val="baseline"/>
                <w14:textFill>
                  <w14:solidFill>
                    <w14:schemeClr w14:val="tx1"/>
                  </w14:solidFill>
                </w14:textFill>
              </w:rPr>
            </w:pPr>
          </w:p>
        </w:tc>
        <w:tc>
          <w:tcPr>
            <w:tcW w:w="1061" w:type="dxa"/>
            <w:vMerge w:val="continue"/>
          </w:tcPr>
          <w:p>
            <w:pPr>
              <w:rPr>
                <w:color w:val="000000" w:themeColor="text1"/>
                <w:vertAlign w:val="baseline"/>
                <w14:textFill>
                  <w14:solidFill>
                    <w14:schemeClr w14:val="tx1"/>
                  </w14:solidFill>
                </w14:textFill>
              </w:rPr>
            </w:pPr>
          </w:p>
        </w:tc>
        <w:tc>
          <w:tcPr>
            <w:tcW w:w="950" w:type="dxa"/>
            <w:vMerge w:val="continue"/>
          </w:tcPr>
          <w:p>
            <w:pPr>
              <w:rPr>
                <w:color w:val="000000" w:themeColor="text1"/>
                <w:vertAlign w:val="baseline"/>
                <w14:textFill>
                  <w14:solidFill>
                    <w14:schemeClr w14:val="tx1"/>
                  </w14:solidFill>
                </w14:textFill>
              </w:rPr>
            </w:pPr>
          </w:p>
        </w:tc>
        <w:tc>
          <w:tcPr>
            <w:tcW w:w="775" w:type="dxa"/>
            <w:vMerge w:val="continue"/>
          </w:tcPr>
          <w:p>
            <w:pPr>
              <w:rPr>
                <w:color w:val="000000" w:themeColor="text1"/>
                <w:vertAlign w:val="baseline"/>
                <w14:textFill>
                  <w14:solidFill>
                    <w14:schemeClr w14:val="tx1"/>
                  </w14:solidFill>
                </w14:textFill>
              </w:rPr>
            </w:pPr>
          </w:p>
        </w:tc>
        <w:tc>
          <w:tcPr>
            <w:tcW w:w="650" w:type="dxa"/>
            <w:vMerge w:val="continue"/>
          </w:tcPr>
          <w:p>
            <w:pPr>
              <w:rPr>
                <w:color w:val="000000" w:themeColor="text1"/>
                <w:vertAlign w:val="baseline"/>
                <w14:textFill>
                  <w14:solidFill>
                    <w14:schemeClr w14:val="tx1"/>
                  </w14:solidFill>
                </w14:textFill>
              </w:rPr>
            </w:pPr>
          </w:p>
        </w:tc>
        <w:tc>
          <w:tcPr>
            <w:tcW w:w="5950" w:type="dxa"/>
            <w:gridSpan w:val="6"/>
            <w:vMerge w:val="continue"/>
          </w:tcPr>
          <w:p>
            <w:pPr>
              <w:rPr>
                <w:color w:val="000000" w:themeColor="text1"/>
                <w:vertAlign w:val="baseline"/>
                <w14:textFill>
                  <w14:solidFill>
                    <w14:schemeClr w14:val="tx1"/>
                  </w14:solidFill>
                </w14:textFill>
              </w:rPr>
            </w:pPr>
          </w:p>
        </w:tc>
        <w:tc>
          <w:tcPr>
            <w:tcW w:w="1989" w:type="dxa"/>
            <w:vMerge w:val="continue"/>
          </w:tcPr>
          <w:p>
            <w:pPr>
              <w:rPr>
                <w:color w:val="000000" w:themeColor="text1"/>
                <w:vertAlign w:val="baseline"/>
                <w14:textFill>
                  <w14:solidFill>
                    <w14:schemeClr w14:val="tx1"/>
                  </w14:solidFill>
                </w14:textFill>
              </w:rPr>
            </w:pPr>
          </w:p>
        </w:tc>
        <w:tc>
          <w:tcPr>
            <w:tcW w:w="986" w:type="dxa"/>
            <w:vMerge w:val="restart"/>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法定</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时间</w:t>
            </w:r>
          </w:p>
        </w:tc>
        <w:tc>
          <w:tcPr>
            <w:tcW w:w="725" w:type="dxa"/>
            <w:vMerge w:val="restart"/>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承诺</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时限</w:t>
            </w:r>
          </w:p>
        </w:tc>
        <w:tc>
          <w:tcPr>
            <w:tcW w:w="509" w:type="dxa"/>
            <w:vMerge w:val="continue"/>
          </w:tcPr>
          <w:p>
            <w:pPr>
              <w:rPr>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62" w:type="dxa"/>
            <w:vMerge w:val="continue"/>
          </w:tcPr>
          <w:p>
            <w:pPr>
              <w:rPr>
                <w:color w:val="000000" w:themeColor="text1"/>
                <w:vertAlign w:val="baseline"/>
                <w14:textFill>
                  <w14:solidFill>
                    <w14:schemeClr w14:val="tx1"/>
                  </w14:solidFill>
                </w14:textFill>
              </w:rPr>
            </w:pPr>
          </w:p>
        </w:tc>
        <w:tc>
          <w:tcPr>
            <w:tcW w:w="1061" w:type="dxa"/>
            <w:vMerge w:val="continue"/>
          </w:tcPr>
          <w:p>
            <w:pPr>
              <w:rPr>
                <w:color w:val="000000" w:themeColor="text1"/>
                <w:vertAlign w:val="baseline"/>
                <w14:textFill>
                  <w14:solidFill>
                    <w14:schemeClr w14:val="tx1"/>
                  </w14:solidFill>
                </w14:textFill>
              </w:rPr>
            </w:pPr>
          </w:p>
        </w:tc>
        <w:tc>
          <w:tcPr>
            <w:tcW w:w="950" w:type="dxa"/>
            <w:vMerge w:val="continue"/>
          </w:tcPr>
          <w:p>
            <w:pPr>
              <w:rPr>
                <w:color w:val="000000" w:themeColor="text1"/>
                <w:vertAlign w:val="baseline"/>
                <w14:textFill>
                  <w14:solidFill>
                    <w14:schemeClr w14:val="tx1"/>
                  </w14:solidFill>
                </w14:textFill>
              </w:rPr>
            </w:pPr>
          </w:p>
        </w:tc>
        <w:tc>
          <w:tcPr>
            <w:tcW w:w="775" w:type="dxa"/>
            <w:vMerge w:val="continue"/>
          </w:tcPr>
          <w:p>
            <w:pPr>
              <w:rPr>
                <w:color w:val="000000" w:themeColor="text1"/>
                <w:vertAlign w:val="baseline"/>
                <w14:textFill>
                  <w14:solidFill>
                    <w14:schemeClr w14:val="tx1"/>
                  </w14:solidFill>
                </w14:textFill>
              </w:rPr>
            </w:pPr>
          </w:p>
        </w:tc>
        <w:tc>
          <w:tcPr>
            <w:tcW w:w="650" w:type="dxa"/>
            <w:vMerge w:val="continue"/>
          </w:tcPr>
          <w:p>
            <w:pPr>
              <w:rPr>
                <w:color w:val="000000" w:themeColor="text1"/>
                <w:vertAlign w:val="baseline"/>
                <w14:textFill>
                  <w14:solidFill>
                    <w14:schemeClr w14:val="tx1"/>
                  </w14:solidFill>
                </w14:textFill>
              </w:rPr>
            </w:pPr>
          </w:p>
        </w:tc>
        <w:tc>
          <w:tcPr>
            <w:tcW w:w="1025"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法律</w:t>
            </w:r>
          </w:p>
        </w:tc>
        <w:tc>
          <w:tcPr>
            <w:tcW w:w="875"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行政法规</w:t>
            </w:r>
          </w:p>
        </w:tc>
        <w:tc>
          <w:tcPr>
            <w:tcW w:w="650"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地方性法规</w:t>
            </w:r>
          </w:p>
        </w:tc>
        <w:tc>
          <w:tcPr>
            <w:tcW w:w="2175" w:type="dxa"/>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部委</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规章</w:t>
            </w:r>
          </w:p>
        </w:tc>
        <w:tc>
          <w:tcPr>
            <w:tcW w:w="500" w:type="dxa"/>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政府</w:t>
            </w:r>
          </w:p>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规章</w:t>
            </w:r>
          </w:p>
        </w:tc>
        <w:tc>
          <w:tcPr>
            <w:tcW w:w="725"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规范性文件</w:t>
            </w:r>
          </w:p>
        </w:tc>
        <w:tc>
          <w:tcPr>
            <w:tcW w:w="1989" w:type="dxa"/>
            <w:vMerge w:val="continue"/>
          </w:tcPr>
          <w:p>
            <w:pPr>
              <w:rPr>
                <w:color w:val="000000" w:themeColor="text1"/>
                <w:vertAlign w:val="baseline"/>
                <w14:textFill>
                  <w14:solidFill>
                    <w14:schemeClr w14:val="tx1"/>
                  </w14:solidFill>
                </w14:textFill>
              </w:rPr>
            </w:pPr>
          </w:p>
        </w:tc>
        <w:tc>
          <w:tcPr>
            <w:tcW w:w="986" w:type="dxa"/>
            <w:vMerge w:val="continue"/>
          </w:tcPr>
          <w:p>
            <w:pPr>
              <w:rPr>
                <w:color w:val="000000" w:themeColor="text1"/>
                <w:vertAlign w:val="baseline"/>
                <w14:textFill>
                  <w14:solidFill>
                    <w14:schemeClr w14:val="tx1"/>
                  </w14:solidFill>
                </w14:textFill>
              </w:rPr>
            </w:pPr>
          </w:p>
        </w:tc>
        <w:tc>
          <w:tcPr>
            <w:tcW w:w="725" w:type="dxa"/>
            <w:vMerge w:val="continue"/>
          </w:tcPr>
          <w:p>
            <w:pPr>
              <w:rPr>
                <w:color w:val="000000" w:themeColor="text1"/>
                <w:vertAlign w:val="baseline"/>
                <w14:textFill>
                  <w14:solidFill>
                    <w14:schemeClr w14:val="tx1"/>
                  </w14:solidFill>
                </w14:textFill>
              </w:rPr>
            </w:pPr>
          </w:p>
        </w:tc>
        <w:tc>
          <w:tcPr>
            <w:tcW w:w="509" w:type="dxa"/>
            <w:vMerge w:val="continue"/>
          </w:tcPr>
          <w:p>
            <w:pPr>
              <w:rPr>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rPr>
                <w:rFonts w:hint="eastAsia" w:eastAsiaTheme="minor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商务01</w:t>
            </w:r>
          </w:p>
        </w:tc>
        <w:tc>
          <w:tcPr>
            <w:tcW w:w="1061"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单用途商业预付卡</w:t>
            </w:r>
          </w:p>
        </w:tc>
        <w:tc>
          <w:tcPr>
            <w:tcW w:w="950"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行政处罚</w:t>
            </w:r>
          </w:p>
        </w:tc>
        <w:tc>
          <w:tcPr>
            <w:tcW w:w="775"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商务局</w:t>
            </w:r>
          </w:p>
        </w:tc>
        <w:tc>
          <w:tcPr>
            <w:tcW w:w="650"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执法四队</w:t>
            </w:r>
          </w:p>
        </w:tc>
        <w:tc>
          <w:tcPr>
            <w:tcW w:w="1025" w:type="dxa"/>
          </w:tcPr>
          <w:p>
            <w:pPr>
              <w:rPr>
                <w:color w:val="000000" w:themeColor="text1"/>
                <w:vertAlign w:val="baseline"/>
                <w14:textFill>
                  <w14:solidFill>
                    <w14:schemeClr w14:val="tx1"/>
                  </w14:solidFill>
                </w14:textFill>
              </w:rPr>
            </w:pPr>
          </w:p>
        </w:tc>
        <w:tc>
          <w:tcPr>
            <w:tcW w:w="875" w:type="dxa"/>
          </w:tcPr>
          <w:p>
            <w:pPr>
              <w:rPr>
                <w:color w:val="000000" w:themeColor="text1"/>
                <w:vertAlign w:val="baseline"/>
                <w14:textFill>
                  <w14:solidFill>
                    <w14:schemeClr w14:val="tx1"/>
                  </w14:solidFill>
                </w14:textFill>
              </w:rPr>
            </w:pPr>
          </w:p>
        </w:tc>
        <w:tc>
          <w:tcPr>
            <w:tcW w:w="650" w:type="dxa"/>
          </w:tcPr>
          <w:p>
            <w:pPr>
              <w:rPr>
                <w:color w:val="000000" w:themeColor="text1"/>
                <w:vertAlign w:val="baseline"/>
                <w14:textFill>
                  <w14:solidFill>
                    <w14:schemeClr w14:val="tx1"/>
                  </w14:solidFill>
                </w14:textFill>
              </w:rPr>
            </w:pPr>
          </w:p>
        </w:tc>
        <w:tc>
          <w:tcPr>
            <w:tcW w:w="2175"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单用途商业预付卡管理办法</w:t>
            </w:r>
            <w:r>
              <w:rPr>
                <w:rFonts w:hint="eastAsia"/>
                <w:color w:val="000000" w:themeColor="text1"/>
                <w:vertAlign w:val="baseline"/>
                <w:lang w:val="en-US" w:eastAsia="zh-CN"/>
                <w14:textFill>
                  <w14:solidFill>
                    <w14:schemeClr w14:val="tx1"/>
                  </w14:solidFill>
                </w14:textFill>
              </w:rPr>
              <w:t>[试行]商务部令第2012年第9号</w:t>
            </w:r>
          </w:p>
        </w:tc>
        <w:tc>
          <w:tcPr>
            <w:tcW w:w="500" w:type="dxa"/>
          </w:tcPr>
          <w:p>
            <w:pPr>
              <w:rPr>
                <w:color w:val="000000" w:themeColor="text1"/>
                <w:vertAlign w:val="baseline"/>
                <w14:textFill>
                  <w14:solidFill>
                    <w14:schemeClr w14:val="tx1"/>
                  </w14:solidFill>
                </w14:textFill>
              </w:rPr>
            </w:pPr>
          </w:p>
        </w:tc>
        <w:tc>
          <w:tcPr>
            <w:tcW w:w="725" w:type="dxa"/>
          </w:tcPr>
          <w:p>
            <w:pPr>
              <w:rPr>
                <w:color w:val="000000" w:themeColor="text1"/>
                <w:vertAlign w:val="baseline"/>
                <w14:textFill>
                  <w14:solidFill>
                    <w14:schemeClr w14:val="tx1"/>
                  </w14:solidFill>
                </w14:textFill>
              </w:rPr>
            </w:pPr>
          </w:p>
        </w:tc>
        <w:tc>
          <w:tcPr>
            <w:tcW w:w="1989"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从事零售业</w:t>
            </w:r>
            <w:r>
              <w:rPr>
                <w:rFonts w:hint="eastAsia"/>
                <w:color w:val="000000" w:themeColor="text1"/>
                <w:vertAlign w:val="baseline"/>
                <w:lang w:val="en-US" w:eastAsia="zh-CN"/>
                <w14:textFill>
                  <w14:solidFill>
                    <w14:schemeClr w14:val="tx1"/>
                  </w14:solidFill>
                </w14:textFill>
              </w:rPr>
              <w:t>\住宿和餐饮业服务业的企业法人在中国境内开展单用途预付卡的企业</w:t>
            </w:r>
          </w:p>
        </w:tc>
        <w:tc>
          <w:tcPr>
            <w:tcW w:w="986" w:type="dxa"/>
          </w:tcPr>
          <w:p>
            <w:pPr>
              <w:rPr>
                <w:rFonts w:hint="eastAsia" w:eastAsiaTheme="minorEastAsia"/>
                <w:color w:val="000000" w:themeColor="text1"/>
                <w:vertAlign w:val="baseline"/>
                <w:lang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无</w:t>
            </w:r>
          </w:p>
        </w:tc>
        <w:tc>
          <w:tcPr>
            <w:tcW w:w="725" w:type="dxa"/>
          </w:tcPr>
          <w:p>
            <w:pPr>
              <w:rPr>
                <w:color w:val="000000" w:themeColor="text1"/>
                <w:vertAlign w:val="baseline"/>
                <w14:textFill>
                  <w14:solidFill>
                    <w14:schemeClr w14:val="tx1"/>
                  </w14:solidFill>
                </w14:textFill>
              </w:rPr>
            </w:pPr>
          </w:p>
        </w:tc>
        <w:tc>
          <w:tcPr>
            <w:tcW w:w="509" w:type="dxa"/>
          </w:tcPr>
          <w:p>
            <w:pPr>
              <w:rPr>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rPr>
                <w:rFonts w:hint="eastAsia" w:eastAsiaTheme="minorEastAsia"/>
                <w:vertAlign w:val="baseline"/>
                <w:lang w:eastAsia="zh-CN"/>
              </w:rPr>
            </w:pPr>
            <w:r>
              <w:rPr>
                <w:rFonts w:hint="eastAsia"/>
                <w:vertAlign w:val="baseline"/>
                <w:lang w:eastAsia="zh-CN"/>
              </w:rPr>
              <w:t>商务</w:t>
            </w:r>
            <w:r>
              <w:rPr>
                <w:rFonts w:hint="eastAsia"/>
                <w:vertAlign w:val="baseline"/>
                <w:lang w:val="en-US" w:eastAsia="zh-CN"/>
              </w:rPr>
              <w:t>02</w:t>
            </w:r>
          </w:p>
        </w:tc>
        <w:tc>
          <w:tcPr>
            <w:tcW w:w="1061" w:type="dxa"/>
          </w:tcPr>
          <w:p>
            <w:pPr>
              <w:rPr>
                <w:rFonts w:hint="eastAsia" w:eastAsiaTheme="minorEastAsia"/>
                <w:vertAlign w:val="baseline"/>
                <w:lang w:eastAsia="zh-CN"/>
              </w:rPr>
            </w:pPr>
            <w:r>
              <w:rPr>
                <w:rFonts w:hint="eastAsia"/>
                <w:vertAlign w:val="baseline"/>
                <w:lang w:eastAsia="zh-CN"/>
              </w:rPr>
              <w:t>成品油市场管理</w:t>
            </w:r>
          </w:p>
        </w:tc>
        <w:tc>
          <w:tcPr>
            <w:tcW w:w="950" w:type="dxa"/>
          </w:tcPr>
          <w:p>
            <w:pPr>
              <w:rPr>
                <w:rFonts w:hint="eastAsia" w:eastAsiaTheme="minorEastAsia"/>
                <w:vertAlign w:val="baseline"/>
                <w:lang w:eastAsia="zh-CN"/>
              </w:rPr>
            </w:pPr>
            <w:r>
              <w:rPr>
                <w:rFonts w:hint="eastAsia"/>
                <w:vertAlign w:val="baseline"/>
                <w:lang w:eastAsia="zh-CN"/>
              </w:rPr>
              <w:t>行政处罚</w:t>
            </w:r>
          </w:p>
        </w:tc>
        <w:tc>
          <w:tcPr>
            <w:tcW w:w="775" w:type="dxa"/>
          </w:tcPr>
          <w:p>
            <w:pPr>
              <w:rPr>
                <w:rFonts w:hint="eastAsia" w:eastAsiaTheme="minorEastAsia"/>
                <w:vertAlign w:val="baseline"/>
                <w:lang w:eastAsia="zh-CN"/>
              </w:rPr>
            </w:pPr>
            <w:r>
              <w:rPr>
                <w:rFonts w:hint="eastAsia"/>
                <w:vertAlign w:val="baseline"/>
                <w:lang w:eastAsia="zh-CN"/>
              </w:rPr>
              <w:t>商务局</w:t>
            </w:r>
          </w:p>
        </w:tc>
        <w:tc>
          <w:tcPr>
            <w:tcW w:w="650" w:type="dxa"/>
          </w:tcPr>
          <w:p>
            <w:pPr>
              <w:rPr>
                <w:rFonts w:hint="eastAsia" w:eastAsiaTheme="minorEastAsia"/>
                <w:vertAlign w:val="baseline"/>
                <w:lang w:eastAsia="zh-CN"/>
              </w:rPr>
            </w:pPr>
            <w:r>
              <w:rPr>
                <w:rFonts w:hint="eastAsia"/>
                <w:vertAlign w:val="baseline"/>
                <w:lang w:eastAsia="zh-CN"/>
              </w:rPr>
              <w:t>执法三队</w:t>
            </w:r>
          </w:p>
        </w:tc>
        <w:tc>
          <w:tcPr>
            <w:tcW w:w="1025" w:type="dxa"/>
          </w:tcPr>
          <w:p>
            <w:pPr>
              <w:rPr>
                <w:vertAlign w:val="baseline"/>
              </w:rPr>
            </w:pPr>
          </w:p>
        </w:tc>
        <w:tc>
          <w:tcPr>
            <w:tcW w:w="875" w:type="dxa"/>
          </w:tcPr>
          <w:p>
            <w:pPr>
              <w:rPr>
                <w:vertAlign w:val="baseline"/>
              </w:rPr>
            </w:pPr>
          </w:p>
        </w:tc>
        <w:tc>
          <w:tcPr>
            <w:tcW w:w="650" w:type="dxa"/>
          </w:tcPr>
          <w:p>
            <w:pPr>
              <w:rPr>
                <w:vertAlign w:val="baseline"/>
              </w:rPr>
            </w:pPr>
          </w:p>
        </w:tc>
        <w:tc>
          <w:tcPr>
            <w:tcW w:w="2175" w:type="dxa"/>
          </w:tcPr>
          <w:p>
            <w:pPr>
              <w:rPr>
                <w:rFonts w:hint="eastAsia" w:eastAsiaTheme="minorEastAsia"/>
                <w:vertAlign w:val="baseline"/>
                <w:lang w:eastAsia="zh-CN"/>
              </w:rPr>
            </w:pPr>
            <w:r>
              <w:rPr>
                <w:rFonts w:hint="eastAsia"/>
                <w:vertAlign w:val="baseline"/>
                <w:lang w:eastAsia="zh-CN"/>
              </w:rPr>
              <w:t>《成品油市场管理办法》商务部令</w:t>
            </w:r>
            <w:r>
              <w:rPr>
                <w:rFonts w:hint="eastAsia"/>
                <w:vertAlign w:val="baseline"/>
                <w:lang w:val="en-US" w:eastAsia="zh-CN"/>
              </w:rPr>
              <w:t>2006年第23号</w:t>
            </w:r>
          </w:p>
        </w:tc>
        <w:tc>
          <w:tcPr>
            <w:tcW w:w="500" w:type="dxa"/>
          </w:tcPr>
          <w:p>
            <w:pPr>
              <w:rPr>
                <w:vertAlign w:val="baseline"/>
              </w:rPr>
            </w:pPr>
          </w:p>
        </w:tc>
        <w:tc>
          <w:tcPr>
            <w:tcW w:w="725" w:type="dxa"/>
          </w:tcPr>
          <w:p>
            <w:pPr>
              <w:rPr>
                <w:vertAlign w:val="baseline"/>
              </w:rPr>
            </w:pPr>
          </w:p>
        </w:tc>
        <w:tc>
          <w:tcPr>
            <w:tcW w:w="1989" w:type="dxa"/>
          </w:tcPr>
          <w:p>
            <w:pPr>
              <w:rPr>
                <w:rFonts w:hint="eastAsia" w:eastAsiaTheme="minorEastAsia"/>
                <w:vertAlign w:val="baseline"/>
                <w:lang w:eastAsia="zh-CN"/>
              </w:rPr>
            </w:pPr>
            <w:r>
              <w:rPr>
                <w:rFonts w:hint="eastAsia"/>
                <w:vertAlign w:val="baseline"/>
                <w:lang w:eastAsia="zh-CN"/>
              </w:rPr>
              <w:t>成品油经营企业</w:t>
            </w:r>
          </w:p>
        </w:tc>
        <w:tc>
          <w:tcPr>
            <w:tcW w:w="986" w:type="dxa"/>
          </w:tcPr>
          <w:p>
            <w:pPr>
              <w:rPr>
                <w:rFonts w:hint="eastAsia" w:eastAsiaTheme="minorEastAsia"/>
                <w:vertAlign w:val="baseline"/>
                <w:lang w:eastAsia="zh-CN"/>
              </w:rPr>
            </w:pPr>
            <w:r>
              <w:rPr>
                <w:rFonts w:hint="eastAsia"/>
                <w:vertAlign w:val="baseline"/>
                <w:lang w:eastAsia="zh-CN"/>
              </w:rPr>
              <w:t>无</w:t>
            </w:r>
          </w:p>
        </w:tc>
        <w:tc>
          <w:tcPr>
            <w:tcW w:w="725" w:type="dxa"/>
          </w:tcPr>
          <w:p>
            <w:pPr>
              <w:rPr>
                <w:vertAlign w:val="baseline"/>
              </w:rPr>
            </w:pPr>
          </w:p>
        </w:tc>
        <w:tc>
          <w:tcPr>
            <w:tcW w:w="509"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rPr>
                <w:rFonts w:hint="eastAsia" w:eastAsiaTheme="minorEastAsia"/>
                <w:vertAlign w:val="baseline"/>
                <w:lang w:eastAsia="zh-CN"/>
              </w:rPr>
            </w:pPr>
            <w:r>
              <w:rPr>
                <w:rFonts w:hint="eastAsia"/>
                <w:vertAlign w:val="baseline"/>
                <w:lang w:eastAsia="zh-CN"/>
              </w:rPr>
              <w:t>商务</w:t>
            </w:r>
            <w:r>
              <w:rPr>
                <w:rFonts w:hint="eastAsia"/>
                <w:vertAlign w:val="baseline"/>
                <w:lang w:val="en-US" w:eastAsia="zh-CN"/>
              </w:rPr>
              <w:t>03</w:t>
            </w:r>
          </w:p>
        </w:tc>
        <w:tc>
          <w:tcPr>
            <w:tcW w:w="1061" w:type="dxa"/>
          </w:tcPr>
          <w:p>
            <w:pPr>
              <w:rPr>
                <w:rFonts w:hint="eastAsia" w:eastAsiaTheme="minorEastAsia"/>
                <w:vertAlign w:val="baseline"/>
                <w:lang w:eastAsia="zh-CN"/>
              </w:rPr>
            </w:pPr>
            <w:r>
              <w:rPr>
                <w:rFonts w:hint="eastAsia"/>
                <w:vertAlign w:val="baseline"/>
                <w:lang w:eastAsia="zh-CN"/>
              </w:rPr>
              <w:t>再生资源回收</w:t>
            </w:r>
          </w:p>
        </w:tc>
        <w:tc>
          <w:tcPr>
            <w:tcW w:w="950" w:type="dxa"/>
          </w:tcPr>
          <w:p>
            <w:pPr>
              <w:rPr>
                <w:rFonts w:hint="eastAsia" w:eastAsiaTheme="minorEastAsia"/>
                <w:vertAlign w:val="baseline"/>
                <w:lang w:eastAsia="zh-CN"/>
              </w:rPr>
            </w:pPr>
            <w:r>
              <w:rPr>
                <w:rFonts w:hint="eastAsia"/>
                <w:vertAlign w:val="baseline"/>
                <w:lang w:eastAsia="zh-CN"/>
              </w:rPr>
              <w:t>行政处罚</w:t>
            </w:r>
          </w:p>
        </w:tc>
        <w:tc>
          <w:tcPr>
            <w:tcW w:w="775" w:type="dxa"/>
          </w:tcPr>
          <w:p>
            <w:pPr>
              <w:rPr>
                <w:rFonts w:hint="eastAsia" w:eastAsiaTheme="minorEastAsia"/>
                <w:vertAlign w:val="baseline"/>
                <w:lang w:eastAsia="zh-CN"/>
              </w:rPr>
            </w:pPr>
            <w:r>
              <w:rPr>
                <w:rFonts w:hint="eastAsia"/>
                <w:vertAlign w:val="baseline"/>
                <w:lang w:eastAsia="zh-CN"/>
              </w:rPr>
              <w:t>商务局</w:t>
            </w:r>
          </w:p>
        </w:tc>
        <w:tc>
          <w:tcPr>
            <w:tcW w:w="650" w:type="dxa"/>
          </w:tcPr>
          <w:p>
            <w:pPr>
              <w:rPr>
                <w:rFonts w:hint="eastAsia" w:eastAsiaTheme="minorEastAsia"/>
                <w:vertAlign w:val="baseline"/>
                <w:lang w:eastAsia="zh-CN"/>
              </w:rPr>
            </w:pPr>
            <w:r>
              <w:rPr>
                <w:rFonts w:hint="eastAsia"/>
                <w:vertAlign w:val="baseline"/>
                <w:lang w:eastAsia="zh-CN"/>
              </w:rPr>
              <w:t>执法三队</w:t>
            </w:r>
          </w:p>
        </w:tc>
        <w:tc>
          <w:tcPr>
            <w:tcW w:w="1025" w:type="dxa"/>
          </w:tcPr>
          <w:p>
            <w:pPr>
              <w:rPr>
                <w:vertAlign w:val="baseline"/>
              </w:rPr>
            </w:pPr>
          </w:p>
        </w:tc>
        <w:tc>
          <w:tcPr>
            <w:tcW w:w="875" w:type="dxa"/>
          </w:tcPr>
          <w:p>
            <w:pPr>
              <w:rPr>
                <w:vertAlign w:val="baseline"/>
              </w:rPr>
            </w:pPr>
          </w:p>
        </w:tc>
        <w:tc>
          <w:tcPr>
            <w:tcW w:w="650" w:type="dxa"/>
          </w:tcPr>
          <w:p>
            <w:pPr>
              <w:rPr>
                <w:vertAlign w:val="baseline"/>
              </w:rPr>
            </w:pPr>
          </w:p>
        </w:tc>
        <w:tc>
          <w:tcPr>
            <w:tcW w:w="2175" w:type="dxa"/>
          </w:tcPr>
          <w:p>
            <w:pPr>
              <w:rPr>
                <w:rFonts w:hint="eastAsia" w:eastAsiaTheme="minorEastAsia"/>
                <w:vertAlign w:val="baseline"/>
                <w:lang w:eastAsia="zh-CN"/>
              </w:rPr>
            </w:pPr>
            <w:r>
              <w:rPr>
                <w:rFonts w:hint="eastAsia"/>
                <w:vertAlign w:val="baseline"/>
                <w:lang w:eastAsia="zh-CN"/>
              </w:rPr>
              <w:t>《再生资源回收管理办法》商务部、发改委、公安部、建设部、工商总局、环保总局令</w:t>
            </w:r>
            <w:r>
              <w:rPr>
                <w:rFonts w:hint="eastAsia"/>
                <w:vertAlign w:val="baseline"/>
                <w:lang w:val="en-US" w:eastAsia="zh-CN"/>
              </w:rPr>
              <w:t>2007第8号</w:t>
            </w:r>
          </w:p>
        </w:tc>
        <w:tc>
          <w:tcPr>
            <w:tcW w:w="500" w:type="dxa"/>
          </w:tcPr>
          <w:p>
            <w:pPr>
              <w:rPr>
                <w:vertAlign w:val="baseline"/>
              </w:rPr>
            </w:pPr>
          </w:p>
        </w:tc>
        <w:tc>
          <w:tcPr>
            <w:tcW w:w="725" w:type="dxa"/>
          </w:tcPr>
          <w:p>
            <w:pPr>
              <w:rPr>
                <w:vertAlign w:val="baseline"/>
              </w:rPr>
            </w:pPr>
          </w:p>
        </w:tc>
        <w:tc>
          <w:tcPr>
            <w:tcW w:w="1989" w:type="dxa"/>
          </w:tcPr>
          <w:p>
            <w:pPr>
              <w:rPr>
                <w:rFonts w:hint="eastAsia" w:eastAsiaTheme="minorEastAsia"/>
                <w:vertAlign w:val="baseline"/>
                <w:lang w:eastAsia="zh-CN"/>
              </w:rPr>
            </w:pPr>
            <w:r>
              <w:rPr>
                <w:rFonts w:hint="eastAsia"/>
                <w:vertAlign w:val="baseline"/>
                <w:lang w:eastAsia="zh-CN"/>
              </w:rPr>
              <w:t>无向商务部门备案的再生资源回收企业</w:t>
            </w:r>
          </w:p>
        </w:tc>
        <w:tc>
          <w:tcPr>
            <w:tcW w:w="986" w:type="dxa"/>
          </w:tcPr>
          <w:p>
            <w:pPr>
              <w:rPr>
                <w:rFonts w:hint="eastAsia" w:eastAsiaTheme="minorEastAsia"/>
                <w:vertAlign w:val="baseline"/>
                <w:lang w:eastAsia="zh-CN"/>
              </w:rPr>
            </w:pPr>
            <w:r>
              <w:rPr>
                <w:rFonts w:hint="eastAsia"/>
                <w:vertAlign w:val="baseline"/>
                <w:lang w:eastAsia="zh-CN"/>
              </w:rPr>
              <w:t>无</w:t>
            </w:r>
          </w:p>
        </w:tc>
        <w:tc>
          <w:tcPr>
            <w:tcW w:w="725" w:type="dxa"/>
          </w:tcPr>
          <w:p>
            <w:pPr>
              <w:rPr>
                <w:vertAlign w:val="baseline"/>
              </w:rPr>
            </w:pPr>
          </w:p>
        </w:tc>
        <w:tc>
          <w:tcPr>
            <w:tcW w:w="509" w:type="dxa"/>
          </w:tcPr>
          <w:p>
            <w:pPr>
              <w:rPr>
                <w:vertAlign w:val="baseline"/>
              </w:rPr>
            </w:pPr>
          </w:p>
        </w:tc>
      </w:tr>
    </w:tbl>
    <w:p>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36E1A"/>
    <w:rsid w:val="268D7F89"/>
    <w:rsid w:val="4CB36E1A"/>
    <w:rsid w:val="649C1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2017-07-19T08:52:00Z</dcterms:created>
  <dc:creator>Administrator</dc:creator>
  <cp:lastModifiedBy>Administrator</cp:lastModifiedBy>
  <cp:lastPrinted>2017-07-20T02:47:00Z</cp:lastPrinted>
  <dcterms:modified xsi:type="dcterms:W3CDTF">2017-08-10T02:29:37Z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